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0A" w:rsidRPr="00A70EC1" w:rsidRDefault="00AC430A" w:rsidP="00AC430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70EC1">
        <w:rPr>
          <w:rFonts w:cstheme="minorHAnsi"/>
          <w:b/>
          <w:bCs/>
          <w:sz w:val="24"/>
          <w:szCs w:val="24"/>
        </w:rPr>
        <w:t>Поняття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документу.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Призначення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та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класифікація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документів.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Документообіг.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Загальні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правила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оформлення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документів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bCs/>
          <w:sz w:val="24"/>
          <w:szCs w:val="24"/>
        </w:rPr>
        <w:t>Документ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—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це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матеріальний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об'єкт,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що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містить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зафіксованому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вигляді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інформацію,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оформлений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заведеному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порядку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й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має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відповідно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чинного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законодавства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юридичну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силу.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Функції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Полягають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суспільній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ролі,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соціальному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призначенні,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цілях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завданнях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Головна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функція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Найбільш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узагальнююча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функція,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Полягає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здатності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передавати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(поширювати)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часі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та/або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просторі.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Створюється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метою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забезпечення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потреб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суспільства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допомогою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розмноженої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70EC1">
        <w:rPr>
          <w:rFonts w:cstheme="minorHAnsi"/>
          <w:sz w:val="24"/>
          <w:szCs w:val="24"/>
        </w:rPr>
        <w:t>документної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інформації.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Загальні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функції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Загальні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функції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Характерні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всіх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незалежно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типу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виду.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Інформаційна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створюється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передачі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або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інформації.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Соціальна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задовольняє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певну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соціальну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потребу.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Культурна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засіб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зв'язку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між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організаціями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суспільними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структурами.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A70EC1">
        <w:rPr>
          <w:rFonts w:cstheme="minorHAnsi"/>
          <w:bCs/>
          <w:sz w:val="24"/>
          <w:szCs w:val="24"/>
        </w:rPr>
        <w:t>Спеціальні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функції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Спеціальні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функції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Властиві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всім,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певним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видам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типам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вони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проявляються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переважно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залежно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соціальних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потреб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суспільства.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Управлінська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допомогою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виконується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управління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підприємством.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Правова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документом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закріплена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юридична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сила.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Історична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надбання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історії,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підтвердження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того,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відбувалося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світі.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Складові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частини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документа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Інформаційна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складова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1.Документна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інформація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документа.</w:t>
      </w:r>
      <w:r>
        <w:rPr>
          <w:rFonts w:cstheme="minorHAnsi"/>
          <w:sz w:val="24"/>
          <w:szCs w:val="24"/>
        </w:rPr>
        <w:t xml:space="preserve"> 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2.Документована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інформація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зафіксована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матеріальному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носії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певними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ознаками,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дозволяють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ідентифікувати.</w:t>
      </w:r>
      <w:r>
        <w:rPr>
          <w:rFonts w:cstheme="minorHAnsi"/>
          <w:sz w:val="24"/>
          <w:szCs w:val="24"/>
        </w:rPr>
        <w:t xml:space="preserve"> 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3.Інформація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про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дані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носія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способи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закріплення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повідомлення.</w:t>
      </w:r>
      <w:r>
        <w:rPr>
          <w:rFonts w:cstheme="minorHAnsi"/>
          <w:sz w:val="24"/>
          <w:szCs w:val="24"/>
        </w:rPr>
        <w:t xml:space="preserve"> 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4.Інформація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автографи,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різні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помітки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авторів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або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видатних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особистостей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резолюції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підписи,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відбитки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печаток,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штемпелів,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бібліотек,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архівів,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музеїв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тощо.</w:t>
      </w:r>
      <w:r>
        <w:rPr>
          <w:rFonts w:cstheme="minorHAnsi"/>
          <w:sz w:val="24"/>
          <w:szCs w:val="24"/>
        </w:rPr>
        <w:t xml:space="preserve"> 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5.Документальна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інформація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базується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підтверджена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документом.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Матеріальна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складова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Інформація,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така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достатньою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ознакою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складова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одна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двох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необхідних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обов'язкових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складових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без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якої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він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може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існувати.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Матеріальна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складова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фізична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сутність,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форма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забезпечує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здатність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передавати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просторі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часі.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складову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визначає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носій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об'єкт,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навмисно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створений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людиною,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посередництвом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можна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передавати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інформацію.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Призначення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передачі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просторі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часі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обумовлює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специфічну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конструкцію,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представлену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вигляді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книг,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журналів,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газет,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буклетів,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фільмів,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дисків,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дискет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спеціальна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конструкція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забезпечує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виконання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головної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функції,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даючи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можливість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бути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зручними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переміщення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просторі,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стійкими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протягом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тривалого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часу,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пристосованими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фізіологічних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можливостей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читання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повідомлень.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Інформація,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міститься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обов'язково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закріплена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якому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70EC1">
        <w:rPr>
          <w:rFonts w:cstheme="minorHAnsi"/>
          <w:sz w:val="24"/>
          <w:szCs w:val="24"/>
        </w:rPr>
        <w:t>небудь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спеціальному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(папірус,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пергамент,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папір,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кіно,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фотоплівка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д.),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форму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носія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(стрічка,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70EC1">
        <w:rPr>
          <w:rFonts w:cstheme="minorHAnsi"/>
          <w:sz w:val="24"/>
          <w:szCs w:val="24"/>
        </w:rPr>
        <w:t>стрічка</w:t>
      </w:r>
      <w:proofErr w:type="spellEnd"/>
      <w:r w:rsidRPr="00A70EC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листок,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барабан,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диск,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нитка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д.)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крім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завжди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фіксується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яким-небудь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методом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запису,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передбачає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наявність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засобів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(фарба,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туш,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барвники,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клей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тощо)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інструментів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(ручка,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друкарський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верстат,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відеокамера,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принтер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тощо).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Таким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чином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під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матеріальною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складовою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розуміють: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Матеріальну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основу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документа;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Форму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носія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інформації;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Спосіб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документування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чи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запису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інформації.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Матеріальна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основа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сукупність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використаних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запису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повідомлень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(тексту,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звуку,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зображення)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складаючи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носій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інформації.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залежності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матеріальної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основи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поділяють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великі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групи: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природні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штучні.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Штучні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свою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чергу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діляться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паперові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lastRenderedPageBreak/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паперовій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основі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полімерні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паперових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відносяться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ділові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науково-технічна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документація,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книги,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журнали,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газети,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рукописи,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карти,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ноти,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70EC1">
        <w:rPr>
          <w:rFonts w:cstheme="minorHAnsi"/>
          <w:sz w:val="24"/>
          <w:szCs w:val="24"/>
        </w:rPr>
        <w:t>ізовидання</w:t>
      </w:r>
      <w:proofErr w:type="spellEnd"/>
      <w:r w:rsidRPr="00A70EC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перфострічки,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перфокарти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Папір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відповідає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багатьом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вимогам: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відносно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простий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виготовленні,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доступний,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достатньо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довго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дозволяє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легко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фіксувати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інформацію.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Найцінніша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якість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паперу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він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дозволяє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тиражувати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інформацію.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Поява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штучних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носіїв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полімерній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основі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поповнила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видове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A70EC1">
        <w:rPr>
          <w:rFonts w:cstheme="minorHAnsi"/>
          <w:sz w:val="24"/>
          <w:szCs w:val="24"/>
        </w:rPr>
        <w:t>різнобіччя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здатні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нести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музику,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рухоме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об'ємне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зображення.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Були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створені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гра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пластинки,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магнітні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плівки,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фото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кіноплівки,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магнітні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оптичні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диски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матеріальні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носії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тієї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інформації,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може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бути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зафіксована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папері.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Класифікація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документів</w:t>
      </w:r>
      <w:r>
        <w:rPr>
          <w:rFonts w:cstheme="minorHAnsi"/>
          <w:b/>
          <w:sz w:val="24"/>
          <w:szCs w:val="24"/>
        </w:rPr>
        <w:t xml:space="preserve"> 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найменуванням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заява,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лист,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телеграма,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службова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записка,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протокол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тощо.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походженням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службові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(офіційні)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особисті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Службові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створюються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організаціями,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підприємствами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службовими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особами,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представляють.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Особисті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створюють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окремі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особи,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вони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стосуються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сфери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їхньої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службової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діяльності.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призначенням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щодо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особового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складу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(заява,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автобіографія,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резюме,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наказ),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довідково-інформаційні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(довідка,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службова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записка,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протокол,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витяг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протоколу,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телеграма,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факс,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стаття),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обліково-фінансові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(акт,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доручення,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розписка,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список,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таблиця),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розпорядчі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(постанова,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ухвала,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вказівка,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розпорядження),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організаційні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(положення,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статут,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інструкція),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господарсько-договірні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(договір,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трудова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угода,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контракт).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формою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стандартні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(типові)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індивідуальні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(нетипові).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Стандартні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мають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однакову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форму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заповнюються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певній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послідовності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однаковими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правилами.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Індивідуальні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створюються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кожному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конкретному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випадку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вирішення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проблем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окремих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ситуаціях.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друкують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або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пишуть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руки.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терміном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виконання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звичайні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безстрокові,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термінові,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дуже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термінові.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ступенем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гласності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загального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користування,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службового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користування,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таємні,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цілком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таємні.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стадіями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створення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оригінали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копії.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Оригінал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основний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вид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перший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єдиний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примірник.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Копія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точне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відтворення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оригіналу.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Різновидами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копії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відпуск,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витяг,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дублікат.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Відпуск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повна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копія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відправленого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установи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залишається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відправника.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Коли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виникає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потреба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відтворити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весь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лише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його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частину,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роблять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витяг.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Дублікат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другий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примірник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виданий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зв'язку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втратою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оригіналу.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Юридично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оригінал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дублікат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рівноцінні.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sz w:val="24"/>
          <w:szCs w:val="24"/>
        </w:rPr>
        <w:t>8.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За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терміном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зберігання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тимчасового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(до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років),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тривалого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(понад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років),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постійного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зберігання.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A70EC1">
        <w:rPr>
          <w:rFonts w:cstheme="minorHAnsi"/>
          <w:b/>
          <w:bCs/>
          <w:sz w:val="24"/>
          <w:szCs w:val="24"/>
        </w:rPr>
        <w:t>Документоо́біг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—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це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рух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документів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установі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від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моменту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створення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або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від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одержання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сторони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моменту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передачі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на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зберігання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архіву.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Cs/>
          <w:sz w:val="24"/>
          <w:szCs w:val="24"/>
        </w:rPr>
        <w:t>Організація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роботи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документами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та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діяльність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щодо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їх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створення,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називається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діловодством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eastAsiaTheme="minorHAnsi" w:hAnsiTheme="minorHAnsi" w:cstheme="minorHAnsi"/>
          <w:b/>
          <w:bCs/>
          <w:lang w:val="uk-UA" w:eastAsia="en-US"/>
        </w:rPr>
        <w:t>Єдина</w:t>
      </w:r>
      <w:r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/>
          <w:bCs/>
          <w:lang w:val="uk-UA" w:eastAsia="en-US"/>
        </w:rPr>
        <w:t>державна</w:t>
      </w:r>
      <w:r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/>
          <w:bCs/>
          <w:lang w:val="uk-UA" w:eastAsia="en-US"/>
        </w:rPr>
        <w:t>система</w:t>
      </w:r>
      <w:r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/>
          <w:bCs/>
          <w:lang w:val="uk-UA" w:eastAsia="en-US"/>
        </w:rPr>
        <w:t>діловодства</w:t>
      </w:r>
      <w:r w:rsidRPr="00A70EC1">
        <w:rPr>
          <w:rFonts w:asciiTheme="minorHAnsi" w:eastAsiaTheme="minorHAnsi" w:hAnsiTheme="minorHAnsi" w:cstheme="minorHAnsi"/>
          <w:b/>
          <w:lang w:val="uk-UA" w:eastAsia="en-US"/>
        </w:rPr>
        <w:t>(ЄДСД)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lang w:val="uk-UA" w:eastAsia="en-US"/>
        </w:rPr>
        <w:t>–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це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науково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впорядкований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комплекс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основних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положень,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норм,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правил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і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рекомендацій,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які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регламентують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процеси</w:t>
      </w:r>
      <w:r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Pr="00A70EC1">
        <w:rPr>
          <w:rFonts w:asciiTheme="minorHAnsi" w:eastAsiaTheme="minorHAnsi" w:hAnsiTheme="minorHAnsi" w:cstheme="minorHAnsi"/>
          <w:bCs/>
          <w:lang w:val="uk-UA" w:eastAsia="en-US"/>
        </w:rPr>
        <w:t>діловодства.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Запровадження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ЄДСД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дало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змогу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досягти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єдиного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цілого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організації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діловодства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країні.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Основне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завдання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ЄДСД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–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сприяти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раціоналізації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уніфікації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Pr="00A70EC1">
        <w:rPr>
          <w:rFonts w:asciiTheme="minorHAnsi" w:hAnsiTheme="minorHAnsi" w:cstheme="minorHAnsi"/>
          <w:color w:val="000000"/>
          <w:lang w:val="uk-UA"/>
        </w:rPr>
        <w:t>документаційних</w:t>
      </w:r>
      <w:proofErr w:type="spellEnd"/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процесів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діяльності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держапарату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різних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рівнях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управління.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Ця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система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вимагає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доведення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рівня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загальної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обов’язкової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для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всіх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установ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норми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вже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перевірених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практикою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раціональних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методів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діловодства.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Першим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розділом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“Оформлення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документів”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встановлюється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максимальна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кількість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реквізитів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(обов’язкових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елементів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документів).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також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їх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зміст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порядок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розташування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стандартних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аркушах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паперу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форматів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А4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А5.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Оформлення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обов’язкової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частини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підтверджує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його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юридичну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силу,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розміри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площ,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відведених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для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розміщення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реквізитів,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викладено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другому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розділі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державного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стандарту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“Вимоги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бланків”.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A70EC1">
        <w:rPr>
          <w:rFonts w:cstheme="minorHAnsi"/>
          <w:b/>
          <w:bCs/>
          <w:sz w:val="24"/>
          <w:szCs w:val="24"/>
        </w:rPr>
        <w:t>Вимоги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документа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можна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кваліфікувати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за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такими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ознаками.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Вимоги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можна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кваліфікувати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правовими,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мовними,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логічними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технічними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ознаками.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Правові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вимоги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видає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повноважний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орган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особа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їх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компетенції;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повинен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чинному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законодавству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директивним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вказівкам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керівних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органів;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має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достовірним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завданням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конкретного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керівництва,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тобто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базуватися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фактах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містити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конкретні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пропозиції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вказівки;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своєму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призначенню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укладатися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певною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встановленою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формою;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бездоганно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відредагованим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оформленим.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Логічні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вимоги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використання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засобів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логічної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оцінки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матеріалу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зв’язності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окремих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частин,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зазначення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черговості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здійснення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першу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чергу,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одночасно,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після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тощо);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врахування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елементів,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актуальність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фактів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їх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своєчасність;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послідовність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викладення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частин.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Технічні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вимоги.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Для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укладання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будь-якого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існує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формат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паперу.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Загальновизнаний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формат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А4,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друкується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через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півтора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міжрядкових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інтервали,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бланках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формату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через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один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інтервал.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документів.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готуються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друкованого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видання,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друкують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через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інтервали.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справочинстві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розроблені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певні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вимоги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правила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щодо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оформлення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сторінки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її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нумерації.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оформленні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двох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більше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аркушах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сторінки.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частини,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починаючи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другої,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пронумеровані.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Номери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сторінок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проставлятися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посередині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верхнього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аркуша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арабськими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цифрами.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Крапки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тире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цифрами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після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проставляються.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Номер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сторінки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друкують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інтервалі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10-15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верхнього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зрізу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аркуша.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Колір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паперу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білий,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хоча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останнім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часом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спостерігаються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тенденції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використовувати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документоведенні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різні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кольори.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Важливе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значення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складанні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набуття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юридичної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сили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реквізити.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дотримуватися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їх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вимог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використання.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можна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забувати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також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важливе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значення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зшиванні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справи.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Мовні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вимоги.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Обов’язковим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складником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ділових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паперів,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викладається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зміст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</w:rPr>
        <w:t>Документ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</w:rPr>
        <w:t>має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</w:rPr>
        <w:t>відповідати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</w:rPr>
        <w:t>таким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</w:rPr>
        <w:t>основним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</w:rPr>
        <w:t>вимогам: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виконують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офіційну,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ділову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оперативну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функції,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оскільки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вони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писемний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доказ,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джерело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відомостей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довідкового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характеру.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Відтворюють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папері,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фотоплівці,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магнітній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перфострічці,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дискеті,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перфокарті,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диску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основним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вимогам:</w:t>
      </w:r>
    </w:p>
    <w:p w:rsidR="00AC430A" w:rsidRPr="00A70EC1" w:rsidRDefault="00AC430A" w:rsidP="00AC430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видаватися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уповноваженим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органом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особою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її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компетенції;</w:t>
      </w:r>
    </w:p>
    <w:p w:rsidR="00AC430A" w:rsidRPr="00A70EC1" w:rsidRDefault="00AC430A" w:rsidP="00AC430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суперечити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чинному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законодавству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директивним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вказівкам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вищих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органів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влади;</w:t>
      </w:r>
    </w:p>
    <w:p w:rsidR="00AC430A" w:rsidRPr="00A70EC1" w:rsidRDefault="00AC430A" w:rsidP="00AC430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точним,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достовірним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переконливим;</w:t>
      </w:r>
    </w:p>
    <w:p w:rsidR="00AC430A" w:rsidRPr="00A70EC1" w:rsidRDefault="00AC430A" w:rsidP="00AC430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належно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відредагованим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оформленим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чинних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стандартів;</w:t>
      </w:r>
    </w:p>
    <w:p w:rsidR="00AC430A" w:rsidRPr="00A70EC1" w:rsidRDefault="00AC430A" w:rsidP="00AC430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містити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конкретні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змістовні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вказівки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пропозиції;</w:t>
      </w:r>
    </w:p>
    <w:p w:rsidR="00AC430A" w:rsidRPr="00A70EC1" w:rsidRDefault="00AC430A" w:rsidP="00AC430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придатним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тривалого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зберігання.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багатьох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випадках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передбачає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стиль,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характер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викладу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тексту.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Однак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практиці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документування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існують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загальні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вимоги,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ставляться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всіх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документів.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Головними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вимоги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достовірності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об'єктивності,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максимальної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стислості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повноті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інформації,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точності,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виключає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можливість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двоякого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розуміння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тексту.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Службовий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повинен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спрямовувати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певної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переконувати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(що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досягається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аргументованістю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логічністю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фактів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доказів).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формулювання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бездоганними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юридичному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відношенні.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Стислість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виразність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викладу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передбачають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точність,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правильність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розуміння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інформації,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викладеної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досягається,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перш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все,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добором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достатньої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інформації,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уникненням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повторень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зайвих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подробиць.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Кожне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слово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нести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смислове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навантаження.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Досягти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виразності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допомагає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смислова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точність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прямий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порядок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реченні,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коли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присудок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іде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підметом,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означення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стоїть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означуваним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словом.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Але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випадках,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коли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смислове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навантаження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припадає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дію,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використовується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зворотній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порядок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слів.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Більше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уваги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потрібно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приділяти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підбору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слів.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використовувати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одному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реченні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однокореневі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слова,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тавтології.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Достовірним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тоді,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коли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ньому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допускається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подвійне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тлумачення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виразів.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називається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зміст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вичерпує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всі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обставини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справи.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Переконливим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веде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прийняття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адресатом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пропозиції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виконання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прохань,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викладених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документі.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Переконливо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складений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діловий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лист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може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прискорити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прийняття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управлінського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рішення,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запобігти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назріванню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конфлікту.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оформлені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службового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необхідно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пам'ятати,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автор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службовою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особою,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юридичною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підприємство,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установа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або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організація.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Це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покладає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велику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відповідальність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укладачів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виконавців,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вираження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інтересів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юридичних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осіб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відповідати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нормам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адміністративного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права.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Усі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існують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взаємозв'язку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взаємозалежності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може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переконливим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без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достатньої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повноти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Правильно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складеним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лише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діловий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папір,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написано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офіційно-діловою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мовою.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Theme="majorEastAsia" w:cstheme="minorHAnsi"/>
          <w:bCs/>
          <w:i/>
          <w:color w:val="000000"/>
          <w:sz w:val="24"/>
          <w:szCs w:val="24"/>
        </w:rPr>
        <w:t>Слайд</w:t>
      </w:r>
      <w:r>
        <w:rPr>
          <w:rFonts w:eastAsiaTheme="majorEastAsia" w:cstheme="minorHAnsi"/>
          <w:bCs/>
          <w:i/>
          <w:color w:val="000000"/>
          <w:sz w:val="24"/>
          <w:szCs w:val="24"/>
        </w:rPr>
        <w:t xml:space="preserve"> </w:t>
      </w:r>
      <w:r w:rsidRPr="00A70EC1">
        <w:rPr>
          <w:rFonts w:eastAsiaTheme="majorEastAsia" w:cstheme="minorHAnsi"/>
          <w:bCs/>
          <w:i/>
          <w:color w:val="000000"/>
          <w:sz w:val="24"/>
          <w:szCs w:val="24"/>
        </w:rPr>
        <w:t>13.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Зупинимось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стандартизації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початків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закінчень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документів.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Це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звані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кліше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усталені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словесні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формули,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закріплені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певною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ситуацією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сприймаються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звичайний,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обов’язковий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компонент.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Наявність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стандартних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висловів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полегшує,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скорочує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процес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укладання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тексів,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спричиняє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однотипність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засобів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однакових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ситуаціях.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Кліше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це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мовні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конструкції,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яким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властиві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постійний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склад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компонентів,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їх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порядок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звичність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звучання.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Наприклад: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організована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злочинність,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встановити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контроль,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слідством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встановлено,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згідно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наказом,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відповідно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розпорядження,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прошу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надати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відпустку,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зв’язку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Розрізняють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прості,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ускладнені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складні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кліше.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Прості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кліше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це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мовні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конструкції,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складаються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двох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слів: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згідно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відповідно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вжити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заходів,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оголосити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подяку,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винести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догану,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брати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участь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Ускладнені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що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більше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двох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слів: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брати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уваги,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згідно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оригіналом,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брати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активну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участь,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вжити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суворих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заходів,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винести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сувору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догану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Складні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мають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своїй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структурі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простих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кліше,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які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поєднані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один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блок: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відділ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боротьби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організованою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злочинністю,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контроль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виконанням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наказу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залишаю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собою,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наказ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оголосити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особовому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складу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Оригінал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це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основний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перший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єдиний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його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примірник.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Він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має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підпис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керівника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установи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й,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разі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потреби,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завірений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штампом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печаткою.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Оригінал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першим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набуває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юридичної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сили.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Копія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це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точне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знакове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відтворення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змісту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оригіналу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чи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іншого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копії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обов'язково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робиться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помітка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"Копія"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вгорі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праворуч.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Витяг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копія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офіційного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відтворює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деяку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частину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відповідно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засвідчена.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Дублікат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повторний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примірник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офіційного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має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юридичну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чинність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оригіналу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сучасному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світі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величезне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значення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має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поняття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документообігу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(більш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детально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його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будемо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вивчати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дещо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пізніше).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Суб'єкти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color w:val="000000"/>
          <w:lang w:val="uk-UA"/>
        </w:rPr>
        <w:t>електронного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color w:val="000000"/>
          <w:lang w:val="uk-UA"/>
        </w:rPr>
        <w:t>документообігу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автор,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Pr="00A70EC1">
        <w:rPr>
          <w:rFonts w:asciiTheme="minorHAnsi" w:hAnsiTheme="minorHAnsi" w:cstheme="minorHAnsi"/>
          <w:color w:val="000000"/>
          <w:lang w:val="uk-UA"/>
        </w:rPr>
        <w:t>підписувач</w:t>
      </w:r>
      <w:proofErr w:type="spellEnd"/>
      <w:r w:rsidRPr="00A70EC1">
        <w:rPr>
          <w:rFonts w:asciiTheme="minorHAnsi" w:hAnsiTheme="minorHAnsi" w:cstheme="minorHAnsi"/>
          <w:color w:val="000000"/>
          <w:lang w:val="uk-UA"/>
        </w:rPr>
        <w:t>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адресат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посередник,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набувають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передбачених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законом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договором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прав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обов'язків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процесі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документообігу.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proofErr w:type="spellStart"/>
      <w:r w:rsidRPr="00A70EC1">
        <w:rPr>
          <w:rFonts w:asciiTheme="minorHAnsi" w:hAnsiTheme="minorHAnsi" w:cstheme="minorHAnsi"/>
          <w:b/>
          <w:color w:val="000000"/>
          <w:lang w:val="uk-UA"/>
        </w:rPr>
        <w:t>Підписувач</w:t>
      </w:r>
      <w:proofErr w:type="spellEnd"/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–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законних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підставах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володіє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особистим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ключем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свого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імені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дорученням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вона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представляє,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накладає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цифровий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підпис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час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створення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Посередник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фізична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юридична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установленому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законодавством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порядку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здійснює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приймання,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передавання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(доставку),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зберігання,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перевірку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цілісності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для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задоволення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власних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потреб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надає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відповідні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послуги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дорученням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інших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суб'єктів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документообігу.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Автор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color w:val="000000"/>
          <w:lang w:val="uk-UA"/>
        </w:rPr>
        <w:t>електронного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color w:val="000000"/>
          <w:lang w:val="uk-UA"/>
        </w:rPr>
        <w:t>документа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фізична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юридична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створила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Адресат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фізична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юридична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якій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адресується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електронний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sz w:val="24"/>
          <w:szCs w:val="24"/>
        </w:rPr>
        <w:t>Виділяють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такі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види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b/>
          <w:sz w:val="24"/>
          <w:szCs w:val="24"/>
        </w:rPr>
        <w:t>документообігу:</w:t>
      </w:r>
      <w:r>
        <w:rPr>
          <w:rFonts w:cstheme="minorHAnsi"/>
          <w:b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централізований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документообіг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(вся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централізовано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реєструється);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децентралізований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документообіг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(реєстрація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кількох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місцях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умови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річного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документообігу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тисяч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більше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також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наявності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територіально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уособлених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структурних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підрозділів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певних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особливих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умов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роботи);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змішаний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документообіг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(найбільш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важлива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внутрішня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документація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листування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керівництва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реєструється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канцелярії,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решта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структурних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підрозділах).</w:t>
      </w:r>
      <w:r>
        <w:rPr>
          <w:rFonts w:cstheme="minorHAnsi"/>
          <w:sz w:val="24"/>
          <w:szCs w:val="24"/>
        </w:rPr>
        <w:t xml:space="preserve"> 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sz w:val="24"/>
          <w:szCs w:val="24"/>
        </w:rPr>
        <w:t>Документообіг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складається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потоків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вхідних,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вихідних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внутрішніх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організації.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Потік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вхідних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надходять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інших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(вищих)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інстанцій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скеровують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керівникам,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структурним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підрозділам,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окремим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виконавцям.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Потік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вихідних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створені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lastRenderedPageBreak/>
        <w:t>установі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для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скерування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адресатам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межами.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Потік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внутрішніх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документів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формують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документи,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які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створені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циркулюють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установі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одного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підрозділу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інший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та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не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виходять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за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її</w:t>
      </w:r>
      <w:r>
        <w:rPr>
          <w:rFonts w:cstheme="minorHAnsi"/>
          <w:sz w:val="24"/>
          <w:szCs w:val="24"/>
        </w:rPr>
        <w:t xml:space="preserve"> </w:t>
      </w:r>
      <w:r w:rsidRPr="00A70EC1">
        <w:rPr>
          <w:rFonts w:cstheme="minorHAnsi"/>
          <w:sz w:val="24"/>
          <w:szCs w:val="24"/>
        </w:rPr>
        <w:t>межі.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70EC1">
        <w:rPr>
          <w:rFonts w:cstheme="minorHAnsi"/>
          <w:b/>
          <w:bCs/>
          <w:sz w:val="24"/>
          <w:szCs w:val="24"/>
        </w:rPr>
        <w:t>Електронний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документообіг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(обіг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електронних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документів)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сукупність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процесів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створення,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опрацювання,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відправлення,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передавання,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одержання,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зберігання,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використання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та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знищення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електронних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документів,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що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виконується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із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застосуванням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перевірки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цілісності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та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разі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необхідності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з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підтвердженням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факту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одержання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таких</w:t>
      </w:r>
      <w:r>
        <w:rPr>
          <w:rFonts w:cstheme="minorHAnsi"/>
          <w:bCs/>
          <w:sz w:val="24"/>
          <w:szCs w:val="24"/>
        </w:rPr>
        <w:t xml:space="preserve"> </w:t>
      </w:r>
      <w:r w:rsidRPr="00A70EC1">
        <w:rPr>
          <w:rFonts w:cstheme="minorHAnsi"/>
          <w:bCs/>
          <w:sz w:val="24"/>
          <w:szCs w:val="24"/>
        </w:rPr>
        <w:t>документів.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70EC1">
        <w:rPr>
          <w:rFonts w:cstheme="minorHAnsi"/>
          <w:b/>
          <w:bCs/>
          <w:sz w:val="24"/>
          <w:szCs w:val="24"/>
        </w:rPr>
        <w:t>Загальні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правила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оформлення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70EC1">
        <w:rPr>
          <w:rFonts w:cstheme="minorHAnsi"/>
          <w:b/>
          <w:bCs/>
          <w:sz w:val="24"/>
          <w:szCs w:val="24"/>
        </w:rPr>
        <w:t>документів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стилістичному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відношенні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ділове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мовлення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відрізняється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суворою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логічністю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міркування,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послідовністю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переконливістю.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Під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час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написання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укладач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повинен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дотримуватися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таких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вимог.</w:t>
      </w:r>
    </w:p>
    <w:p w:rsidR="00AC430A" w:rsidRPr="00A70EC1" w:rsidRDefault="00AC430A" w:rsidP="00AC430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має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позбавлений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образності,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емоційності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індивідуальних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авторських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рис.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необхідна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певна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стандартизація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початку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закінчення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стійкі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(стандартизовані)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словосполучення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типу: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відповідно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зв’язку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</w:t>
      </w:r>
      <w:proofErr w:type="spellEnd"/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метою...,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як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виняток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...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Використовувати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синтаксичні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конструкції: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Доводимо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Вашого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відома...,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Відповідно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попередньої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домовленості...,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порядку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обміну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досвідом...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початку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речення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вживати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дієприслівникові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звороти: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враховуючи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певні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обставини...,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розглянувши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питання...,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порушивши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справу...,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вступивши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вищого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навчального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закладу...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</w:p>
    <w:p w:rsidR="00AC430A" w:rsidRPr="00A70EC1" w:rsidRDefault="00AC430A" w:rsidP="00AC430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Лексика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бути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здебільшого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нейтральна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вживатися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прямому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значенні.</w:t>
      </w:r>
    </w:p>
    <w:p w:rsidR="00AC430A" w:rsidRPr="00A70EC1" w:rsidRDefault="00AC430A" w:rsidP="00AC430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текстах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уживати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словосполучення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дієсловами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формі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теперішнього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часу.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Наприклад: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рішеннянадсилається</w:t>
      </w:r>
      <w:proofErr w:type="spellEnd"/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.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академія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запрошує,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управління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проводить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конкурс,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міністерство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попереджає.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Вживаються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усталені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мовні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звороти,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наприклад: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вжити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заходів,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оголосити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подяку,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накласти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дисциплінарне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стягнення,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брати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участь,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надати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слово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тощо.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документа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повинен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чітко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переконливо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відбивати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причину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мету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написання,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розкривати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суть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справи.</w:t>
      </w:r>
    </w:p>
    <w:p w:rsidR="00AC430A" w:rsidRPr="00A70EC1" w:rsidRDefault="00AC430A" w:rsidP="00AC430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Найхарактерніші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реченні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прості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поширені.</w:t>
      </w:r>
    </w:p>
    <w:p w:rsidR="00AC430A" w:rsidRPr="00A70EC1" w:rsidRDefault="00AC430A" w:rsidP="00AC430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Текст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повинен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викладатись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від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третьої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70EC1">
        <w:rPr>
          <w:rFonts w:eastAsia="Times New Roman" w:cstheme="minorHAnsi"/>
          <w:color w:val="000000"/>
          <w:sz w:val="24"/>
          <w:szCs w:val="24"/>
          <w:lang w:eastAsia="ru-RU"/>
        </w:rPr>
        <w:t>особи: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70EC1">
        <w:rPr>
          <w:rFonts w:cstheme="minorHAnsi"/>
          <w:b/>
          <w:bCs/>
          <w:color w:val="000000"/>
          <w:sz w:val="24"/>
          <w:szCs w:val="24"/>
        </w:rPr>
        <w:t>Вимоги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cstheme="minorHAnsi"/>
          <w:b/>
          <w:bCs/>
          <w:color w:val="000000"/>
          <w:sz w:val="24"/>
          <w:szCs w:val="24"/>
        </w:rPr>
        <w:t>до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cstheme="minorHAnsi"/>
          <w:b/>
          <w:bCs/>
          <w:color w:val="000000"/>
          <w:sz w:val="24"/>
          <w:szCs w:val="24"/>
        </w:rPr>
        <w:t>тексту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cstheme="minorHAnsi"/>
          <w:b/>
          <w:bCs/>
          <w:color w:val="000000"/>
          <w:sz w:val="24"/>
          <w:szCs w:val="24"/>
        </w:rPr>
        <w:t>документа</w:t>
      </w:r>
    </w:p>
    <w:p w:rsidR="00AC430A" w:rsidRPr="00A70EC1" w:rsidRDefault="00AC430A" w:rsidP="00AC430A">
      <w:p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A70EC1">
        <w:rPr>
          <w:rFonts w:cstheme="minorHAnsi"/>
          <w:b/>
          <w:bCs/>
          <w:color w:val="000000"/>
          <w:sz w:val="24"/>
          <w:szCs w:val="24"/>
        </w:rPr>
        <w:t>Текст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є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головним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елементом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документа,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що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містить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сукупність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речень,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послідовно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об’єднаних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змістом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і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побудованих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за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правилами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певної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мовної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системи.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Текст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є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засобом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відтворення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зв’язного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мовлення,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тобто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висловлювання,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пов’язаного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однією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темою,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основною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думкою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та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структурою.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При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створенні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тексту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документу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повинні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виконуватися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певні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вимоги,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найголовніші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з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яких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достовірність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та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об’єктивність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змісту,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нейтральність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тону,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максимальна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стислість,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повнота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70EC1">
        <w:rPr>
          <w:rFonts w:cstheme="minorHAnsi"/>
          <w:color w:val="000000"/>
          <w:sz w:val="24"/>
          <w:szCs w:val="24"/>
        </w:rPr>
        <w:t>інформації.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Достовірним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текст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тоді,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коли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викладені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ньому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факти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відображають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справжній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стан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речей.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Точним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текст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тоді,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коли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ньому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допускається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подвійне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тлумачення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висловів.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>Доречним</w:t>
      </w:r>
      <w:r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текст,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мовні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засоби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відповідають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меті,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темі,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логічному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змістові,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ситуації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мовлення.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>Повним</w:t>
      </w:r>
      <w:r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називається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такий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текст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зміст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вичерпує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всі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обставини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справи.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>Стислим</w:t>
      </w:r>
      <w:r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>с</w:t>
      </w:r>
      <w:r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текст,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якому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відсутні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зайві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слова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смислові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повтори,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надмірно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довгі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міркування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суті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справи.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>Переконливим</w:t>
      </w:r>
      <w:r>
        <w:rPr>
          <w:rFonts w:asciiTheme="minorHAnsi" w:hAnsiTheme="minorHAnsi" w:cstheme="minorHAnsi"/>
          <w:b/>
          <w:bCs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є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такий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текст,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веде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прийняття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адресатом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пропозиції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виконання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прохань,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викладених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документі.</w:t>
      </w:r>
    </w:p>
    <w:p w:rsidR="00AC430A" w:rsidRPr="00A70EC1" w:rsidRDefault="00AC430A" w:rsidP="00AC430A">
      <w:pPr>
        <w:pStyle w:val="2"/>
        <w:spacing w:before="0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70E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Текст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складається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з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таких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логічних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елементів:</w:t>
      </w:r>
    </w:p>
    <w:p w:rsidR="00AC430A" w:rsidRPr="00A70EC1" w:rsidRDefault="00AC430A" w:rsidP="00AC430A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Вступу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/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зазначається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привід,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став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причиною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укладання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історія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питання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інші.</w:t>
      </w:r>
    </w:p>
    <w:p w:rsidR="00AC430A" w:rsidRPr="00A70EC1" w:rsidRDefault="00AC430A" w:rsidP="00AC430A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Доказу</w:t>
      </w:r>
      <w:r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color w:val="000000"/>
          <w:lang w:val="uk-UA"/>
        </w:rPr>
        <w:t>/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суть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питання: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докази,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пояснення,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супроводжуються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цифровими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розрахунками,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посиланнями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законодавчі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акти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інші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матеріали.</w:t>
      </w:r>
    </w:p>
    <w:p w:rsidR="00AC430A" w:rsidRPr="00A70EC1" w:rsidRDefault="00AC430A" w:rsidP="00AC430A">
      <w:pPr>
        <w:pStyle w:val="a4"/>
        <w:numPr>
          <w:ilvl w:val="0"/>
          <w:numId w:val="5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color w:val="000000"/>
          <w:lang w:val="uk-UA"/>
        </w:rPr>
        <w:t>Закінчення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/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формулюється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мета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заради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складено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Текст,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складається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самого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закінчення,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називається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простим,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той,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містить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інші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логічні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елементи,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noBreakHyphen/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складним.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Залежно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змісту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застосовується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прямий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(вступ,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доказ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закінчення)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чи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зворотній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(спочатку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викладається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закінчення,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потім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доказ,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вступ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відсутній)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порядок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розташування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логічних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елементів.</w:t>
      </w:r>
    </w:p>
    <w:p w:rsidR="00AC430A" w:rsidRPr="00A70EC1" w:rsidRDefault="00AC430A" w:rsidP="00AC430A">
      <w:pPr>
        <w:pStyle w:val="a4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Під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час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укладання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тексту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документа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слід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дотримуватися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таких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b/>
          <w:bCs/>
          <w:color w:val="000000"/>
          <w:lang w:val="uk-UA"/>
        </w:rPr>
        <w:t>правил: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Правильно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певній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послідовності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розміщувати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реквізити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lastRenderedPageBreak/>
        <w:t>Текст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третьої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особи: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комісія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ухвалила…,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ректорат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клопочеться….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першої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особи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викладаються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заяви,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автобіографії,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службові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записки,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накази…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образних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висловів,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емоційно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забарвлених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синтаксичних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конструкцій.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Уживати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стійкі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(стандартизовані)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сполучення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типу: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відповідно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зв’язку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згідно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метою,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порядку.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Уживати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синтаксичні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конструкції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типу: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доводимо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Вашого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відома,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що;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нагадуємо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Вам,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що;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підтверджуємо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вдячністю;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порядку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надання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матеріальної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допомоги;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порядку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обміну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досвідом;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зв’язку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вказівкою;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відповідно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попередньої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домовленості;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відповідно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Вашого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прохання.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Дієприслівникові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звороти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початку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речення: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Враховуючи...,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Беручи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до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уваги…,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Розглянувши…,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Вважаючи….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Уживати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мовні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засоби,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відповідають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нормам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літературної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мови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зрозумілі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для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широкого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кола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читачів.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Уживати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прямий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порядок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реченнях: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підмет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перед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присудком;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означення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перед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означуваним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словом;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додатки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після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керуючого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слова;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вставні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слова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–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початку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речення.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Щоб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не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виявляти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гостроти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стосунків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партнером,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замінити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активну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форму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дієслова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пасивну: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вами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ще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не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дана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відповідь….</w:t>
      </w:r>
      <w:r>
        <w:rPr>
          <w:rFonts w:asciiTheme="minorHAnsi" w:hAnsiTheme="minorHAnsi" w:cstheme="minorHAnsi"/>
          <w:b/>
          <w:b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Якщо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ж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важливо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вказати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конкретного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виконавця,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то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активну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форму: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комісія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підтверджує…,університет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не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гарантує….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Уживати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інфінітивні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конструкції: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створити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комісію…,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затвердити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пропозицію….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розпорядчих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документах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слід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вживати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дієслівні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конструкції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формі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наказового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способу: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наказую,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пропоную.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Використовувати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скорочення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слів,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складноскорочені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слова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й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абревіатури,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які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пишуться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Pr="00A70EC1">
        <w:rPr>
          <w:rFonts w:asciiTheme="minorHAnsi" w:hAnsiTheme="minorHAnsi" w:cstheme="minorHAnsi"/>
          <w:color w:val="000000"/>
          <w:lang w:val="uk-UA"/>
        </w:rPr>
        <w:t>справочинстві</w:t>
      </w:r>
      <w:proofErr w:type="spellEnd"/>
      <w:r w:rsidRPr="00A70EC1">
        <w:rPr>
          <w:rFonts w:asciiTheme="minorHAnsi" w:hAnsiTheme="minorHAnsi" w:cstheme="minorHAnsi"/>
          <w:color w:val="000000"/>
          <w:lang w:val="uk-UA"/>
        </w:rPr>
        <w:t>,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загальними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правилами: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р-н,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обл.,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км,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напр.,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канд.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філол.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наук.</w:t>
      </w:r>
    </w:p>
    <w:p w:rsidR="00AC430A" w:rsidRPr="00A70EC1" w:rsidRDefault="00AC430A" w:rsidP="00AC430A">
      <w:pPr>
        <w:pStyle w:val="a4"/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contextualSpacing/>
        <w:jc w:val="both"/>
        <w:rPr>
          <w:rFonts w:asciiTheme="minorHAnsi" w:hAnsiTheme="minorHAnsi" w:cstheme="minorHAnsi"/>
          <w:color w:val="000000"/>
          <w:lang w:val="uk-UA"/>
        </w:rPr>
      </w:pPr>
      <w:r w:rsidRPr="00A70EC1">
        <w:rPr>
          <w:rFonts w:asciiTheme="minorHAnsi" w:hAnsiTheme="minorHAnsi" w:cstheme="minorHAnsi"/>
          <w:color w:val="000000"/>
          <w:lang w:val="uk-UA"/>
        </w:rPr>
        <w:t>Надавати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перевагу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простим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реченням.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Використовувати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форми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ввічливості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за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допомогою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color w:val="000000"/>
          <w:lang w:val="uk-UA"/>
        </w:rPr>
        <w:t>слів:</w:t>
      </w:r>
      <w:r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шановний,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високошановний,</w:t>
      </w:r>
      <w:r>
        <w:rPr>
          <w:rFonts w:asciiTheme="minorHAnsi" w:hAnsiTheme="minorHAnsi" w:cstheme="minorHAnsi"/>
          <w:i/>
          <w:iCs/>
          <w:color w:val="000000"/>
          <w:lang w:val="uk-UA"/>
        </w:rPr>
        <w:t xml:space="preserve"> </w:t>
      </w:r>
      <w:r w:rsidRPr="00A70EC1">
        <w:rPr>
          <w:rFonts w:asciiTheme="minorHAnsi" w:hAnsiTheme="minorHAnsi" w:cstheme="minorHAnsi"/>
          <w:i/>
          <w:iCs/>
          <w:color w:val="000000"/>
          <w:lang w:val="uk-UA"/>
        </w:rPr>
        <w:t>вельмишановний….</w:t>
      </w:r>
    </w:p>
    <w:p w:rsidR="002E0C10" w:rsidRDefault="002E0C10"/>
    <w:sectPr w:rsidR="002E0C10" w:rsidSect="00AC43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62B"/>
    <w:multiLevelType w:val="hybridMultilevel"/>
    <w:tmpl w:val="A81600B8"/>
    <w:lvl w:ilvl="0" w:tplc="341802F0">
      <w:start w:val="17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4E93960"/>
    <w:multiLevelType w:val="multilevel"/>
    <w:tmpl w:val="9AFE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7CFA"/>
    <w:multiLevelType w:val="hybridMultilevel"/>
    <w:tmpl w:val="BEA67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A70F94"/>
    <w:multiLevelType w:val="multilevel"/>
    <w:tmpl w:val="8B5A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D687D"/>
    <w:multiLevelType w:val="multilevel"/>
    <w:tmpl w:val="85B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A74BD"/>
    <w:multiLevelType w:val="hybridMultilevel"/>
    <w:tmpl w:val="6ECCFA4E"/>
    <w:lvl w:ilvl="0" w:tplc="33D4B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A1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885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E7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60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25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64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2C7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C0D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FC5CAD"/>
    <w:multiLevelType w:val="hybridMultilevel"/>
    <w:tmpl w:val="014E748C"/>
    <w:lvl w:ilvl="0" w:tplc="341802F0">
      <w:start w:val="1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C5168C"/>
    <w:multiLevelType w:val="hybridMultilevel"/>
    <w:tmpl w:val="FFBC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B7"/>
    <w:rsid w:val="002E0C10"/>
    <w:rsid w:val="00893CB7"/>
    <w:rsid w:val="00A642F0"/>
    <w:rsid w:val="00A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0A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43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C43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AC430A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0A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43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C43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AC430A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13833</Words>
  <Characters>7885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Chashuk</dc:creator>
  <cp:lastModifiedBy>Chashuk</cp:lastModifiedBy>
  <cp:revision>3</cp:revision>
  <cp:lastPrinted>2019-09-02T19:14:00Z</cp:lastPrinted>
  <dcterms:created xsi:type="dcterms:W3CDTF">2019-09-02T19:13:00Z</dcterms:created>
  <dcterms:modified xsi:type="dcterms:W3CDTF">2019-09-02T19:14:00Z</dcterms:modified>
</cp:coreProperties>
</file>